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38761d"/>
          <w:sz w:val="60"/>
          <w:szCs w:val="60"/>
        </w:rPr>
      </w:pPr>
      <w:bookmarkStart w:colFirst="0" w:colLast="0" w:name="_4v7vafz5w1vh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B2B Marketing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4g1phgdllq3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B2B marketing strategy, target industry, and key results.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drqjzn81k1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B2B goals, such as lead generation, brand positioning, or partnership development.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cjollhnfn87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Target Market Overview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target industries, company sizes, and roles.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customer personas and pain points.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gp5vl58c64x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Market &amp; Competitor Analysis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Insights into industry trends and competitor approaches.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dk0rfbf5lwu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Marketing Strategy Overview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Channels Used</w:t>
      </w:r>
      <w:r w:rsidDel="00000000" w:rsidR="00000000" w:rsidRPr="00000000">
        <w:rPr>
          <w:sz w:val="24"/>
          <w:szCs w:val="24"/>
          <w:rtl w:val="0"/>
        </w:rPr>
        <w:t xml:space="preserve">: Email marketing, LinkedIn, webinars, content marketing.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Messaging</w:t>
      </w:r>
      <w:r w:rsidDel="00000000" w:rsidR="00000000" w:rsidRPr="00000000">
        <w:rPr>
          <w:sz w:val="24"/>
          <w:szCs w:val="24"/>
          <w:rtl w:val="0"/>
        </w:rPr>
        <w:t xml:space="preserve">: Positioning statements and unique selling points.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9bgqk2mflkv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Lead Generation Metrics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KPIs</w:t>
      </w:r>
      <w:r w:rsidDel="00000000" w:rsidR="00000000" w:rsidRPr="00000000">
        <w:rPr>
          <w:sz w:val="24"/>
          <w:szCs w:val="24"/>
          <w:rtl w:val="0"/>
        </w:rPr>
        <w:t xml:space="preserve">: Number of leads, cost per lead (CPL), conversion rate.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 Nurturing</w:t>
      </w:r>
      <w:r w:rsidDel="00000000" w:rsidR="00000000" w:rsidRPr="00000000">
        <w:rPr>
          <w:sz w:val="24"/>
          <w:szCs w:val="24"/>
          <w:rtl w:val="0"/>
        </w:rPr>
        <w:t xml:space="preserve">: Analyze lead journey and engagement.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vtx1nwj3zhp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Sales Alignment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Collaboration efforts between marketing and sales.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Outcome of joint marketing-sales initiatives.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8gv0pa8wpj9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Budget &amp; ROI Analysis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marketing spend with a focus on ROI for specific channels.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vex0min9bbg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Key Insights &amp; Recommendations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Areas for improvement and recommended actions.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75epj39j4nl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Conclusion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B2B marketing achievements and next steps.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