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990000"/>
          <w:sz w:val="60"/>
          <w:szCs w:val="60"/>
        </w:rPr>
      </w:pPr>
      <w:bookmarkStart w:colFirst="0" w:colLast="0" w:name="_bawy6b15kfii" w:id="0"/>
      <w:bookmarkEnd w:id="0"/>
      <w:r w:rsidDel="00000000" w:rsidR="00000000" w:rsidRPr="00000000">
        <w:rPr>
          <w:rFonts w:ascii="Proxima Nova" w:cs="Proxima Nova" w:eastAsia="Proxima Nova" w:hAnsi="Proxima Nova"/>
          <w:color w:val="99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00"/>
          <w:sz w:val="60"/>
          <w:szCs w:val="60"/>
          <w:rtl w:val="0"/>
        </w:rPr>
        <w:t xml:space="preserve">Event Marketing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xkmrhrwue2j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the event and marketing impact.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ud1h2z2qs1i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Objectives</w:t>
      </w:r>
    </w:p>
    <w:p w:rsidR="00000000" w:rsidDel="00000000" w:rsidP="00000000" w:rsidRDefault="00000000" w:rsidRPr="00000000" w14:paraId="00000005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goals (e.g., event attendance, lead capture, brand exposure).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6y2sxx2kll2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Event Details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the event, target audience, and format (in-person, virtual, hybrid).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6vgqhff0g78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Marketing Channels</w:t>
      </w:r>
    </w:p>
    <w:p w:rsidR="00000000" w:rsidDel="00000000" w:rsidP="00000000" w:rsidRDefault="00000000" w:rsidRPr="00000000" w14:paraId="00000009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pre-event, during-event, and post-event channels (social media, email, etc.).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2qfydb7tq8i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Audience Engagement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KPIs</w:t>
      </w:r>
      <w:r w:rsidDel="00000000" w:rsidR="00000000" w:rsidRPr="00000000">
        <w:rPr>
          <w:sz w:val="24"/>
          <w:szCs w:val="24"/>
          <w:rtl w:val="0"/>
        </w:rPr>
        <w:t xml:space="preserve">: Registration numbers, attendee engagement, participation rate.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fofswnnn5le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Campaign Performance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Pre-Event</w:t>
      </w:r>
      <w:r w:rsidDel="00000000" w:rsidR="00000000" w:rsidRPr="00000000">
        <w:rPr>
          <w:sz w:val="24"/>
          <w:szCs w:val="24"/>
          <w:rtl w:val="0"/>
        </w:rPr>
        <w:t xml:space="preserve">: Awareness and registration metrics.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During Event</w:t>
      </w:r>
      <w:r w:rsidDel="00000000" w:rsidR="00000000" w:rsidRPr="00000000">
        <w:rPr>
          <w:sz w:val="24"/>
          <w:szCs w:val="24"/>
          <w:rtl w:val="0"/>
        </w:rPr>
        <w:t xml:space="preserve">: Engagement metrics, interaction rates.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Post-Event</w:t>
      </w:r>
      <w:r w:rsidDel="00000000" w:rsidR="00000000" w:rsidRPr="00000000">
        <w:rPr>
          <w:sz w:val="24"/>
          <w:szCs w:val="24"/>
          <w:rtl w:val="0"/>
        </w:rPr>
        <w:t xml:space="preserve">: Follow-up engagement and lead conversions.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cfd9v7lugr9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Budget Overview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Budget allocation, cost per registration, and ROI.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pzc7b4b8rgv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xn58ndc5quk" w:id="9"/>
      <w:bookmarkEnd w:id="9"/>
      <w:r w:rsidDel="00000000" w:rsidR="00000000" w:rsidRPr="00000000">
        <w:rPr>
          <w:b w:val="1"/>
          <w:color w:val="000000"/>
          <w:rtl w:val="0"/>
        </w:rPr>
        <w:t xml:space="preserve">8. Feedback &amp; Insights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attendee feedback and lessons learned.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i6ucksidj48" w:id="10"/>
      <w:bookmarkEnd w:id="10"/>
      <w:r w:rsidDel="00000000" w:rsidR="00000000" w:rsidRPr="00000000">
        <w:rPr>
          <w:b w:val="1"/>
          <w:color w:val="000000"/>
          <w:rtl w:val="0"/>
        </w:rPr>
        <w:t xml:space="preserve">9. Recommendations</w:t>
      </w:r>
    </w:p>
    <w:p w:rsidR="00000000" w:rsidDel="00000000" w:rsidP="00000000" w:rsidRDefault="00000000" w:rsidRPr="00000000" w14:paraId="00000016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Suggestions for improving future event marketing efforts.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go6mw8hq1df" w:id="11"/>
      <w:bookmarkEnd w:id="11"/>
      <w:r w:rsidDel="00000000" w:rsidR="00000000" w:rsidRPr="00000000">
        <w:rPr>
          <w:b w:val="1"/>
          <w:color w:val="000000"/>
          <w:rtl w:val="0"/>
        </w:rPr>
        <w:t xml:space="preserve">10. Conclusion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event success and future recommendations.</w:t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