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sz w:val="60"/>
          <w:szCs w:val="60"/>
          <w:shd w:fill="d5a6bd" w:val="clear"/>
        </w:rPr>
      </w:pPr>
      <w:r w:rsidDel="00000000" w:rsidR="00000000" w:rsidRPr="00000000">
        <w:rPr>
          <w:b w:val="1"/>
          <w:sz w:val="60"/>
          <w:szCs w:val="60"/>
          <w:shd w:fill="d5a6bd" w:val="clear"/>
          <w:rtl w:val="0"/>
        </w:rPr>
        <w:t xml:space="preserve">Commercial Rent a Room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Commercial Rent a Room Agreement is entered into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Landlord/Owner: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[Landlord's Full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[Landlord's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Tenant/Business Entity: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[Tenant's Business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[Tenant's Business Address]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np8e448n2vi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PROPERTY DETAILS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[Full Property Address]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Description: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[Description of the commercial room being rented]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x7fciaueha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USE OF PROPERTY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 may use the premises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[Business Use, e.g., Office, Retail, etc.]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stm2rwjre7i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RENT PAYMENT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[Due 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ncv7bxhbg5a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SECURITY DEPOSIT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pftx4crukpg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UTILITIES AND TAXES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Tenant is responsible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[Water, Electricity, Taxes, etc.]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68mzss1g57r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DEFAULT AND EVICTION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Non-payment or breach of contract may result in eviction.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udobft6btfw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SIGNATURES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Landlord/Owner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Tenant/Business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