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hrkfdxfluy9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Daycare Teacher Lesson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format is for individual teachers to plan their lessons.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t3ccsul1byo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Teacher Name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 of the teacher responsible for the lesson plan.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gsd1ehyqje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Date and Theme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theme of the lesson (e.g., "Shapes and Patterns").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zfshlhdfi5j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the children will learn during the lesson.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g8fflwrvgx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Activities (with timing)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a. Introduction (10 minutes)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- Greet the children and introduce the theme.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b. Main Activity (20–30 minutes)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- A focused activity planned by the teacher.</w:t>
        <w:br w:type="textWrapping"/>
        <w:t xml:space="preserve">- Example: "Using building blocks to make patterns."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c. Creative Time (20 minutes)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- Teacher-led craft or art activity.</w:t>
        <w:br w:type="textWrapping"/>
        <w:t xml:space="preserve">- Example: "Create shape patterns using paper cutouts."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d. Story or Discussion (15 minutes)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- Example: "Read ‘Brown Bear, Brown Bear, What Do You See?’ and discuss patterns."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e. Physical Activity (15–20 minutes)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- Encourage movement or outdoor play.</w:t>
        <w:br w:type="textWrapping"/>
        <w:t xml:space="preserve">- Example: "Play ‘Simon Says’ with shapes."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ejuwzlyo0qf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Materials Needed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items required for the teacher’s planned activities.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lnxgrjw0qbo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Notes/Follow-Up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Ideas for extending learning beyond the lesson.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