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cc0000"/>
          <w:sz w:val="60"/>
          <w:szCs w:val="60"/>
        </w:rPr>
      </w:pPr>
      <w:bookmarkStart w:colFirst="0" w:colLast="0" w:name="_ecc2toklkvh" w:id="0"/>
      <w:bookmarkEnd w:id="0"/>
      <w:r w:rsidDel="00000000" w:rsidR="00000000" w:rsidRPr="00000000">
        <w:rPr>
          <w:rFonts w:ascii="Open Sans" w:cs="Open Sans" w:eastAsia="Open Sans" w:hAnsi="Open Sans"/>
          <w:color w:val="cc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cc0000"/>
          <w:sz w:val="60"/>
          <w:szCs w:val="60"/>
          <w:rtl w:val="0"/>
        </w:rPr>
        <w:t xml:space="preserve">Army Memorandum of Agreement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Memorandum of Agreement (MOA)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Between the Department of the Army and [Other Party]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MOA defines the agreement between the Department of the Army and [Other Party] concerning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[e.g., operational collaboration, resource sharing, training initiatives]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Army Responsibilities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responsibilities, such as providing facilities, personnel, or equipment]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[Other Party] Responsibilities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[Responsibilities such as coordinating logistics, providing resources]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MOA is valid from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 through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Date/Objective Completion Date]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 Allocation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Contributions include: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Army</w:t>
      </w:r>
      <w:r w:rsidDel="00000000" w:rsidR="00000000" w:rsidRPr="00000000">
        <w:rPr>
          <w:sz w:val="24"/>
          <w:szCs w:val="24"/>
          <w:rtl w:val="0"/>
        </w:rPr>
        <w:t xml:space="preserve">: [Details of resources, e.g., training facilities, logistics support]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[Other Party]</w:t>
      </w:r>
      <w:r w:rsidDel="00000000" w:rsidR="00000000" w:rsidRPr="00000000">
        <w:rPr>
          <w:sz w:val="24"/>
          <w:szCs w:val="24"/>
          <w:rtl w:val="0"/>
        </w:rPr>
        <w:t xml:space="preserve">: [Details of contributions, e.g., funding, manpower]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and Confidentiality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Confidentiality requirements adhere to Army security policies.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With </w:t>
      </w:r>
      <w:r w:rsidDel="00000000" w:rsidR="00000000" w:rsidRPr="00000000">
        <w:rPr>
          <w:b w:val="1"/>
          <w:sz w:val="24"/>
          <w:szCs w:val="24"/>
          <w:rtl w:val="0"/>
        </w:rPr>
        <w:t xml:space="preserve">[Number]</w:t>
      </w:r>
      <w:r w:rsidDel="00000000" w:rsidR="00000000" w:rsidRPr="00000000">
        <w:rPr>
          <w:sz w:val="24"/>
          <w:szCs w:val="24"/>
          <w:rtl w:val="0"/>
        </w:rPr>
        <w:t xml:space="preserve"> days’ notice, either Party may terminate.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Dispute Resolution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Disputes will be addressed per Army dispute resolution protocols.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the Department of the Army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Name/Title: 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[Other Party]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Name/Title: 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