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dat7tk6mhsg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Customer Service Development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gz2rpsmydbc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development plan.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continuous development in customer service roles.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fylppbatb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Development Goals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objectives (e.g., preparing employees for leadership roles).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Alignment with career growth opportunities.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r9msxk5mieu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Individual Development Plans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Personalized goals for each employee.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for achieving those goals (e.g., advanced training, mentorship).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zlpox0c64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Learning Opportunities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Programs and certifications relevant to customer service.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Opportunities for cross-training or job rotation.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47yuig0o2vw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Growth Metrics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 for tracking individual and team development (e.g., certifications earned, role advancements).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reviews and feedback sessions.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us71oa40pkg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Support Mechanisms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Mentorship or peer learning initiatives.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 to resources like online learning platforms or industry seminars.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fg3pc8turev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Review and Updates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Scheduled evaluations of the development plan.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Adapting the plan based on employee needs and business goals.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