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bbhusskkv3u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Customer Service Training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rfwqmfd17bs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training program.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training for achieving customer service excellence.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pgwvneo8e9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Training Goals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skills and knowledge to be developed (e.g., communication, problem-solving).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Measurable outcomes.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3mosv8br1lw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Training Needs Assessment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Identification of skills gaps.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Tailored training based on employee roles and responsibilities.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fsbft3q6wtj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Training Content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Modules/topics to be covered (e.g., active listening, handling complaints, product knowledge).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Format: in-person, online, or hybrid sessions.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l6ich4ud8x4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Training Schedule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training sessions.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Frequency and duration.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ai3xtmchv6q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Resources and Tools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materials (e.g., manuals, videos, role-play scenarios).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Technology/platforms for delivering training.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z89lyn5xftp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Evaluation and Feedback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Pre- and post-training assessments.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Participant feedback to improve training effectiveness.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