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w36aiw50viwv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Annual Medical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pco0kzeaox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Cover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Hospital/Clinic/Medical Institution Name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"Annual Medical Report" and Year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l50xpbqlb2d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ilptnvy8al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institution’s achievements and challenges.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43hpayykz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Mission and Core Values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 in healthcare delivery.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8bg9y4tjci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Patient Care Statistics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patients treated (inpatient, outpatient).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Types of treatments or services offered.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uvccvl9fyk5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Key Achievements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Milestones, recognitions, or certifications.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services, departments, or expansions.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cqrrh973a8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Medical Staff and Training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growth and achievements.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programs and professional development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o2rn0ghh3n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Research and Innovation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Breakthrough treatments or research findings.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Grants or projects undertaken.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j5l83l00ts5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Community Health Initiatives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Public health programs.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for health awareness or free camps.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ge76ozazu6d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Financial Overview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Revenue, expenses, and funding sources.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n1p3p67a91c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Challenges and Goals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Obstacles faced in healthcare delivery.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goals for the next year.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dw2ysdbcwaj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Charts, patient demographics, and other supporting data.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