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7o5ez8b4a9wv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Annual Sales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qr1li31pt3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Cover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"Annual Sales Report" and Year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Tagline or Theme (optional)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t834s3qq5e9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0d9qowjhza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sales highlights and performance summary.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trends and challenges.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w88pxo4jrz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Sales Goals and Objectives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Annual targets set at the beginning of the year.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priorities for sales.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5pa5oddybn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Sales Performance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revenue generated.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Product/service-wise sales breakdown.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Regional or market segment performance.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c5glvbhqqq4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Sales Trends and Analysis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Year-over-year sales growth comparison.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Seasonal performance trends.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customer segments.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fack1vqbzw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and Sales Strategies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Campaign outcomes.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Lead generation effectiveness.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acquisition and retention rates.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ict1c5kv5c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Team Performance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team achievements.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Individual or team-level analysis.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p0tdswzy3eh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Challenges and Solutions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Obstacles faced during the year.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taken to overcome challenges.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nkszligae4p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Recommendations for Next Year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Suggested improvements or strategies for better sales.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jj1qom0bwxt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sales charts, graphs, and additional data.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