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hdql4bx9gxb0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Annual Education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5fgkyhiyzo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Cover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School/University/Institution Name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"Annual Education Report" and Year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lupe8z82k91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galgvvj9s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academic year and key achievements.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77pr35q21y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Institutional Vision and Mission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Core values and educational goals.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2du7g6tadcw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Academic Performance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statistics for students (grades, test scores, graduation rates).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previous years.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zcqmupuqp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Faculty and Staff Highlights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Achievements and growth of the teaching staff.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training and development.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is0tc8qq1x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Curriculum Updates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programs or courses introduced.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Updates to teaching methodologies or technologies.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irl82w3why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Student Achievements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Awards, scholarships, or special recognitions.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Alumni success stories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eq736njjltt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Infrastructure and Resources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Facility upgrades or expansions.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educational tools and technologies implemented.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ji0i75m4tz7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Community Engagement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local organizations.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Events, volunteer programs, and social initiatives.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o3ezx8fzic8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Challenges and Future Plans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needing improvement.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for academic excellence and growth.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