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2c4c9" w:val="clear"/>
        </w:rPr>
      </w:pPr>
      <w:bookmarkStart w:colFirst="0" w:colLast="0" w:name="_3ddkw7qvcorb" w:id="0"/>
      <w:bookmarkEnd w:id="0"/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Financial Business Case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nrvgbytamz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outline the financial problem or opportunity.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financial benefits of the proposal (ROI, cost savings, revenue growth).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g18y31yqvc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Objective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the financial objective (e.g., reduce costs, increase profits, improve cash flow).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9ikb8z90sd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Current Financial Position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current financial situation or challenge.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financial metrics (e.g., revenue, expenses, profitability).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58zbhgoe6h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Proposed Solution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financial strategy or initiative (e.g., investment, cost-cutting, process improvement).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implications and feasibility.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bh4qcyblzn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Impact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Analysis:</w:t>
      </w:r>
      <w:r w:rsidDel="00000000" w:rsidR="00000000" w:rsidRPr="00000000">
        <w:rPr>
          <w:sz w:val="24"/>
          <w:szCs w:val="24"/>
          <w:rtl w:val="0"/>
        </w:rPr>
        <w:t xml:space="preserve"> Breakdown of one-time and recurring costs.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Projection:</w:t>
      </w:r>
      <w:r w:rsidDel="00000000" w:rsidR="00000000" w:rsidRPr="00000000">
        <w:rPr>
          <w:sz w:val="24"/>
          <w:szCs w:val="24"/>
          <w:rtl w:val="0"/>
        </w:rPr>
        <w:t xml:space="preserve"> Potential revenue growth.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ROI Analysis:</w:t>
      </w:r>
      <w:r w:rsidDel="00000000" w:rsidR="00000000" w:rsidRPr="00000000">
        <w:rPr>
          <w:sz w:val="24"/>
          <w:szCs w:val="24"/>
          <w:rtl w:val="0"/>
        </w:rPr>
        <w:t xml:space="preserve"> Expected returns and payback period.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y4av418sntb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Risks and Mitigation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financial risks (e.g., market volatility, operational risks).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Mitigation strategies.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y12v5jtd0w4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Implementation Plan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Steps, resources, and timeline for achieving financial goals.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jrqqrdacqzr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financial benefits.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approval or action needed.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