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4a7d6" w:val="clear"/>
        </w:rPr>
      </w:pPr>
      <w:bookmarkStart w:colFirst="0" w:colLast="0" w:name="_dc5wx9nm3nvg" w:id="0"/>
      <w:bookmarkEnd w:id="0"/>
      <w:r w:rsidDel="00000000" w:rsidR="00000000" w:rsidRPr="00000000">
        <w:rPr>
          <w:b w:val="1"/>
          <w:sz w:val="60"/>
          <w:szCs w:val="60"/>
          <w:shd w:fill="b4a7d6" w:val="clear"/>
          <w:rtl w:val="0"/>
        </w:rPr>
        <w:t xml:space="preserve">Business Case for Biodiversity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w990ymmpxa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biodiversity challenge (e.g., loss of species, habitat destruction).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proposed solution and key benefits (e.g., environmental, economic, social).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r3i7eqjz1y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Objective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goal (e.g., conserve ecosystems, promote sustainable practices).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7jvcod1hoaa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Current Situation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biodiversity issue.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and statistics on biodiversity loss.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q64c5dikrfz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Proposed Solution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initiative (e.g., habitat restoration, policy changes, corporate sustainability programs).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 and expected outcomes.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ifcxcvsx6ms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Benefits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Environmental Benefits:</w:t>
      </w:r>
      <w:r w:rsidDel="00000000" w:rsidR="00000000" w:rsidRPr="00000000">
        <w:rPr>
          <w:sz w:val="24"/>
          <w:szCs w:val="24"/>
          <w:rtl w:val="0"/>
        </w:rPr>
        <w:t xml:space="preserve"> Ecosystem preservation, climate resilience.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Economic Benefits:</w:t>
      </w:r>
      <w:r w:rsidDel="00000000" w:rsidR="00000000" w:rsidRPr="00000000">
        <w:rPr>
          <w:sz w:val="24"/>
          <w:szCs w:val="24"/>
          <w:rtl w:val="0"/>
        </w:rPr>
        <w:t xml:space="preserve"> Sustainable resource use, ecotourism.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Benefits:</w:t>
      </w:r>
      <w:r w:rsidDel="00000000" w:rsidR="00000000" w:rsidRPr="00000000">
        <w:rPr>
          <w:sz w:val="24"/>
          <w:szCs w:val="24"/>
          <w:rtl w:val="0"/>
        </w:rPr>
        <w:t xml:space="preserve"> Community involvement, education.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rz3k39ozmc4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Costs and Funding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costs for implementation.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Potential funding sources (e.g., government grants, corporate investments).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7qobq2wki0d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Risks and Mitigation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Potential risks (e.g., community resistance, funding shortfalls).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Mitigation strategies.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vjq89uwt4r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Implementation Plan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steps, timeline, and responsible parties.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wu93xn47zjv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 the importance of biodiversity.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Request for action or funding.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