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3c78d8"/>
          <w:sz w:val="60"/>
          <w:szCs w:val="60"/>
        </w:rPr>
      </w:pPr>
      <w:bookmarkStart w:colFirst="0" w:colLast="0" w:name="_mqy0ne7185ma" w:id="0"/>
      <w:bookmarkEnd w:id="0"/>
      <w:r w:rsidDel="00000000" w:rsidR="00000000" w:rsidRPr="00000000">
        <w:rPr>
          <w:rFonts w:ascii="Open Sans" w:cs="Open Sans" w:eastAsia="Open Sans" w:hAnsi="Open Sans"/>
          <w:color w:val="3c78d8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c78d8"/>
          <w:sz w:val="60"/>
          <w:szCs w:val="60"/>
          <w:rtl w:val="0"/>
        </w:rPr>
        <w:t xml:space="preserve">Tender Bid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ub8t61vfc7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Letter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intent to bid for the project.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why your company is the best fit.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87w1iq7uo5a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bid objectives and expected results.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fqd5lw79hu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Company Profile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your company’s history, expertise, and relevant projects.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bgfjhhnjpjo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Technical Bid Proposal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Understanding</w:t>
      </w:r>
      <w:r w:rsidDel="00000000" w:rsidR="00000000" w:rsidRPr="00000000">
        <w:rPr>
          <w:sz w:val="24"/>
          <w:szCs w:val="24"/>
          <w:rtl w:val="0"/>
        </w:rPr>
        <w:t xml:space="preserve">: Outline your interpretation of the project scope.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Approach</w:t>
      </w:r>
      <w:r w:rsidDel="00000000" w:rsidR="00000000" w:rsidRPr="00000000">
        <w:rPr>
          <w:sz w:val="24"/>
          <w:szCs w:val="24"/>
          <w:rtl w:val="0"/>
        </w:rPr>
        <w:t xml:space="preserve">: Methodology to achieve project goals.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Resources</w:t>
      </w:r>
      <w:r w:rsidDel="00000000" w:rsidR="00000000" w:rsidRPr="00000000">
        <w:rPr>
          <w:sz w:val="24"/>
          <w:szCs w:val="24"/>
          <w:rtl w:val="0"/>
        </w:rPr>
        <w:t xml:space="preserve">: Equipment, materials, and personnel.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7wpmz3obgb6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Financial Bid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Comprehensive cost breakdown with justification.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81x8m2ittpf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Timeline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 schedule of deliverables.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uuptichod8p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Value Proposition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added value or unique benefits.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14eq3i91u0r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Attach licenses, references, and certifications.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