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d966" w:val="clear"/>
        </w:rPr>
      </w:pPr>
      <w:bookmarkStart w:colFirst="0" w:colLast="0" w:name="_4ll0ehlwr3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d966" w:val="clear"/>
          <w:rtl w:val="0"/>
        </w:rPr>
        <w:t xml:space="preserve">Policy Disclosure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Policy Title</w:t>
      </w:r>
      <w:r w:rsidDel="00000000" w:rsidR="00000000" w:rsidRPr="00000000">
        <w:rPr>
          <w:sz w:val="24"/>
          <w:szCs w:val="24"/>
          <w:rtl w:val="0"/>
        </w:rPr>
        <w:t xml:space="preserve">: Policy Disclosure Statement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Effective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[Insert Approver's Name/Role]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To outline the organization's approach to disclosing policies to internal and external stakeholders while ensuring transparency and compliance.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Statement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policies will be disclosed in accordance with legal, regulatory, and ethical standards.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Internal policies will be accessible to employees through [insert platform, e.g., intranet or HR portal].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Public policies will be available on [insert location, e.g., company website].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Confidential policies or portions of policies may be disclosed only on a need-to-know basis, subject to approval.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Schedule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This policy will be reviewed every [insert frequency, e.g., year] to ensure compliance with disclosure requirements.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For policy disclosure requests, contact [Department/Individual Name].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