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swsydvyu9k8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Architectural Project Concept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2s5lrqj33p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Title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specific title summarizing the architectural concept (e.g., "Green Urban Living Complex").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pz0rr322ubi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architectural vision, purpose, and expected benefits.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innovative or sustainable design aspects.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ru6xx4goj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Project Context and Background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current state of the site or area.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zoning considerations, community needs, and cultural or historical influences.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jwz9fd8ap2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Design Objectives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project’s architectural goals (e.g., sustainability, aesthetic appeal, functionality).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intended use (residential, commercial, mixed-use).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r8gfe1rcn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Concept and Design Approach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 the core design concept, including key inspirations.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describe materials, spatial planning, and any innovative solutions.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l0gjlu2r40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Scope of Work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design elements, structural features, and project boundaries.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phases of the project (design, construction, finalization).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mr6rqdtq8ps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Environmental and Social Impact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sustainability efforts (e.g., energy efficiency, eco-friendly materials).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community benefits (e.g., job creation, public spaces).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nw0oo8x80x5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 and Resources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overview of project costs and required resources.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permits, contractors, and design consultants.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an501byu0pr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Risk Assessment and Mitigation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construction risks (e.g., delays, cost overruns) and solutions.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cfcx7ohkgkx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project’s vision and importance.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 next steps.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