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Commercial Warehouse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Commercial Warehouse Lease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and entered into on this __ day of 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</w:t>
      </w:r>
      <w:r w:rsidDel="00000000" w:rsidR="00000000" w:rsidRPr="00000000">
        <w:rPr>
          <w:sz w:val="24"/>
          <w:szCs w:val="24"/>
          <w:rtl w:val="0"/>
        </w:rPr>
        <w:t xml:space="preserve">: [Name of Lessor], located at [Lessor's Address].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</w:t>
      </w:r>
      <w:r w:rsidDel="00000000" w:rsidR="00000000" w:rsidRPr="00000000">
        <w:rPr>
          <w:sz w:val="24"/>
          <w:szCs w:val="24"/>
          <w:rtl w:val="0"/>
        </w:rPr>
        <w:t xml:space="preserve">: [Name of Lessee], located at [Lessee's Address].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PREMISES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Lessor agrees to lease the commercial warehouse located at [Warehouse Address] to the Lessee, including [specific inclusions: office spaces, parking, utilities, etc.].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TERM OF LEASE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lease will begin on [Start Date] and continue until [End Date], renewable upon written agreement. Early termination is subject to conditions under Section 12.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RENT &amp; PAYMENT TERMS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Lessee agrees to pay monthly rent of [Amount] on or before [Due Date]. Late fees apply beyond [Grace Period].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PURPOSE OF USE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Lessee shall use the premises exclusively for commercial purposes, including [specific business operations allowed].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INSURANCE REQUIREMENTS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Lessee must hold liability insurance for [coverage specifics].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ADDITIONAL CLAUSES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specific commercial-related clauses such as handling hazardous materials, licensing, etc.]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and Governing Law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same sections as in the generic format, tailored to commercial standards.]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Lessor, Lessee, and Witness Signatures]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