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5ro483tm655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Financial Cash Flow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focuses specifically on cash inflows and outflows.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ec7b0rzd0kd" w:id="1"/>
      <w:bookmarkEnd w:id="1"/>
      <w:r w:rsidDel="00000000" w:rsidR="00000000" w:rsidRPr="00000000">
        <w:rPr>
          <w:b w:val="1"/>
          <w:color w:val="000000"/>
          <w:rtl w:val="0"/>
        </w:rPr>
        <w:t xml:space="preserve">A. Header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Cash Flow Statement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Reporting Period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bxufyhdn926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Sections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Operating Activities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Received from Customers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Paid for Operating Expenses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Investing Activities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Spent on Asset Purchases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Proceeds from Sale of Investments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Financing Activities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from Issuance of Shares/Debt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Dividends Paid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Cash Flow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Inflows – Total Outflows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