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15zlttntibt2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Restaurant Financial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h4qinw3nj3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Restaurant name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the plan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details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fs4ubn7i31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an4gmreund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current finances and business objectives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zh4fvq6mch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Current Financial Situation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sources (dine-in, takeout, catering)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of goods sold (ingredients, packaging)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Fixed expenses (rent, staff salaries, utilities)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Variable expenses (marketing, seasonal costs)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Assets (kitchen equipment, cash, inventory)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Liabilities (loans, leases)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1zx9m1i7yep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Financial Goals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Short-term (e.g., increase foot traffic, improve online ordering)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Medium-term (e.g., introduce new menu items)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(e.g., open a second location)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2f4oqsk484m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Budget Plan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Projected monthly revenue and expenses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Allocation for marketing and seasonal promotions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dhrmwbwtr8h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Investment Plan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equipment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Renovations or expansions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campaigns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l9k78o03puo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Risk Management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Food safety and liability insurance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health regulations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rt0vkk1yjin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Tax Strategy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Deductibles (utilities, ingredients, equipment)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tax compliance for food service businesses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43r4h7v91on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Action Plan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for menu changes or renovations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Strategies for increasing sales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