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ccj32zyft55h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Nursing Handover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oiowybz14ry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Patient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Patient's full name and identification number.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Admission details (date, reason for admission, attending physician).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Allergies and significant medical history.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8ny23pemai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Current Condition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Vital signs and any recent changes.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Pain management and current pain levels.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recent tests or procedures and results.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yvdrdny3s54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Medications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medication list with dosages and schedules.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Recent medication changes or missed doses.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Notes on any adverse reactions or side effects.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h104i9uq2y4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Ongoing Treatments and Procedures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of wound care, IVs, or drains.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Rehabilitation or therapy schedules.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Instructions for special equipment (e.g., oxygen, catheter).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m7y499ohi0d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Pending Tests and Results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scheduled diagnostic tests.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critical results awaiting review.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Follow-up on abnormal results.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wfzs1u3t6l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Communication and Notes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instructions from physicians or specialists.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Family or caregiver updates and involvement.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issues needing immediate attention.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