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ywqhhuxxp827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Patient Handover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nouv8yv3283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Patient’s full name, ID, and date of birth.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Reason for admission or care requirements.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Family or emergency contact information.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8a6yf5tvam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Medical History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significant medical conditions.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Known allergies and sensitivities.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Recent surgeries, hospitalizations, or treatments.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r62sgn1sxe1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Current Status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Vital signs and any abnormalities.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Pain levels and current comfort measures.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Mobility, dietary, and toileting needs.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1u26k38jjut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Medications and Treatments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medications with schedules.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Pending treatments or procedures.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Instructions for any medical devices (e.g., catheter, ventilator).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7rlaz5i4222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Notes and Communication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updates or changes in care.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Scheduled appointments or therapy sessions.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Critical issues to monitor or address.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