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4mpyzlashj1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Vehicle Lease Purchase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Vehicle Lease Purchase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as of [Date]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(Owner):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[Lessor’s Full Name]</w:t>
        <w:br w:type="textWrapping"/>
        <w:t xml:space="preserve">Address: [Lessor’s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(Buyer):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[Lessee’s Full Name]</w:t>
        <w:br w:type="textWrapping"/>
        <w:t xml:space="preserve">Address: [Lessee’s Address]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x5y6colwbeu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Description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Make: [Vehicle Make]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[Vehicle Model]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[Year of Manufacture]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VIN: [VIN]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wg54j21l2aw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Lease Purchase Terms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Lease Amount: [Total Amount]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 Payment: [Amount]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Payment: [Amount]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Lease Term: [Number of Months]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0zvpel8izp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Ownership Transfer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Ownership will be transferred to the Lessee upon completion of all lease payments and fulfillment of all terms of this Agreement.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y97o53qnqze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Responsibilities of Lessee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Maintenance: Lessee is responsible for routine maintenance.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Insurance: Lessee must provide full coverage insurance on the vehicle.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snqxgleoh0k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Early Termination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Lessee may terminate the agreement early by paying an early termination fee of [Amount].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5nxano7cgod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Governing Law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governed by the laws of [State/Country].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Lessor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