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ead3" w:val="clear"/>
        </w:rPr>
      </w:pPr>
      <w:bookmarkStart w:colFirst="0" w:colLast="0" w:name="_5htnzorouzo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ead3" w:val="clear"/>
          <w:rtl w:val="0"/>
        </w:rPr>
        <w:t xml:space="preserve">Vendor Risk Management Scorecard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3f3csnlewex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Vendor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Vendor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 Assessment Date: ____________________________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w760xyuaxuq" w:id="2"/>
      <w:bookmarkEnd w:id="2"/>
      <w:r w:rsidDel="00000000" w:rsidR="00000000" w:rsidRPr="00000000">
        <w:rPr>
          <w:b w:val="1"/>
          <w:color w:val="000000"/>
          <w:rtl w:val="0"/>
        </w:rPr>
        <w:t xml:space="preserve">Risk Evaluation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5.8273381294966"/>
        <w:gridCol w:w="1231.3257965056525"/>
        <w:gridCol w:w="1115.8890030832476"/>
        <w:gridCol w:w="1563.2065775950668"/>
        <w:gridCol w:w="3193.7512846865366"/>
        <w:tblGridChange w:id="0">
          <w:tblGrid>
            <w:gridCol w:w="2255.8273381294966"/>
            <w:gridCol w:w="1231.3257965056525"/>
            <w:gridCol w:w="1115.8890030832476"/>
            <w:gridCol w:w="1563.2065775950668"/>
            <w:gridCol w:w="3193.7512846865366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 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Weighted Score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Financial Health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Creditworthiness and financial stability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Operational Reliability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Continuity of operations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Risks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Regulatory adherence and audits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 Security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Cybersecurity and data protection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Reputation in Market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Public perception and trustworthiness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Supply Chain Risk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Dependency on high-risk suppliers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 to Changes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Risk mitigation plans for disruptions</w:t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Risk Score: _________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78xn8ghe43z" w:id="3"/>
      <w:bookmarkEnd w:id="3"/>
      <w:r w:rsidDel="00000000" w:rsidR="00000000" w:rsidRPr="00000000">
        <w:rPr>
          <w:b w:val="1"/>
          <w:color w:val="000000"/>
          <w:rtl w:val="0"/>
        </w:rPr>
        <w:t xml:space="preserve">Risk Mitigation Insights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in Risk Areas: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Risks Identified: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 for Mitigation: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