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5a6bd" w:val="clear"/>
        </w:rPr>
      </w:pPr>
      <w:bookmarkStart w:colFirst="0" w:colLast="0" w:name="_68otzle9x29j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5a6bd" w:val="clear"/>
          <w:rtl w:val="0"/>
        </w:rPr>
        <w:t xml:space="preserve">Health Community Action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mplec4105wo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</w:t>
      </w:r>
      <w:r w:rsidDel="00000000" w:rsidR="00000000" w:rsidRPr="00000000">
        <w:rPr>
          <w:i w:val="1"/>
          <w:sz w:val="24"/>
          <w:szCs w:val="24"/>
          <w:rtl w:val="0"/>
        </w:rPr>
        <w:t xml:space="preserve">Health Community Action Plan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by: [Name of organization/team]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[MM/DD/YYYY]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bx3oj1x87bt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goals such as improving health services, raising awareness, or promoting healthy lifestyles.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key actions and expected outcomes.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ii9d96b48ky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Goals and Objectives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Goals: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 access to healthcare facilities.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 health literacy among the community.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Objectives: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Organize 5 health camps by [Date].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Reduce smoking rates by 20% within 1 year.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dvx0p5qzp92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Strategies and Actions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Educate the community through workshops on nutrition and exercise.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 with local clinics for free check-ups.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Distribute health-related resources (brochures, apps, etc.).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yc30nmry1f9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Monitoring and Evaluation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Track metrics like attendance at health camps and reductions in reported illnesses.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