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ea9999" w:val="clear"/>
        </w:rPr>
      </w:pPr>
      <w:bookmarkStart w:colFirst="0" w:colLast="0" w:name="_rpy1hkiaptv8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9999" w:val="clear"/>
          <w:rtl w:val="0"/>
        </w:rPr>
        <w:t xml:space="preserve">School Community Action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e1o7bmwqq9p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</w:t>
      </w:r>
      <w:r w:rsidDel="00000000" w:rsidR="00000000" w:rsidRPr="00000000">
        <w:rPr>
          <w:i w:val="1"/>
          <w:sz w:val="24"/>
          <w:szCs w:val="24"/>
          <w:rtl w:val="0"/>
        </w:rPr>
        <w:t xml:space="preserve">School Community Action Plan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[School name/organization]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[MM/DD/YYYY]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7y04jyel8fv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enhancing educational outcomes, infrastructure, or extracurricular programs.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summary of initiatives and benefits.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b22oooe929n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Goals and Objectives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student academic performance and participation.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Objectives: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Build a school library within 1 year.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extracurricular participation by 25%.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1jthye6bdoy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Strategies and Actions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 teacher training programs to improve instructional methods.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Launch a scholarship program for underprivileged students.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Set up a school garden project to encourage environmental education.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9kkfohg13h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Monitoring and Evaluation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 grades and participation rates in activities.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