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tw65ezq6473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Youth Community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tiwy68yz7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Youth Community Action Plan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[Organization/Youth group]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ox6lpe0ifa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empowering youth through education, employment, and leadership development.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goals and actions.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420zm76q93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Foster leadership skills among youth.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unemployment rates among young people.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3 leadership training camps annually.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10 local businesses to offer internships.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675g8dgig1p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Strategies and Actions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a community volunteer program.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workshops on resume writing and job interview skills.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a youth advisory council to provide input on local decisions.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yx1ffcnpjxy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Monitoring and Evaluation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employment rates and youth engagement in leadership roles.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