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d966" w:val="clear"/>
        </w:rPr>
      </w:pPr>
      <w:bookmarkStart w:colFirst="0" w:colLast="0" w:name="_ui4x7kj48rf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Climate Risk Assessment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pel9buhnsq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"Climate Risk Assessment Report for [Region/Project/Entity]"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details as mentioned above.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yf53ycy89rt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climate risks identified.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Vulnerabilities and resilience strategies.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recommendations.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plb46e3xk2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Why the climate risk assessment is being conducted.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Regional or project-specific focus.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</w:t>
      </w:r>
      <w:r w:rsidDel="00000000" w:rsidR="00000000" w:rsidRPr="00000000">
        <w:rPr>
          <w:sz w:val="24"/>
          <w:szCs w:val="24"/>
          <w:rtl w:val="0"/>
        </w:rPr>
        <w:t xml:space="preserve"> Current and projected climate trends.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vic7rbm2ufj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Objectives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climate-related risks to the area/project.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Assess vulnerabilities and adaptive capacity.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 strategies to enhance climate resilience.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z1v265kl90g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collection methods (e.g., climate models, historical data analysis).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used (e.g., risk assessment frameworks, GIS).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Assumptions and limitations.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06pss3nkva7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Findings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Climate Trends:</w:t>
      </w:r>
      <w:r w:rsidDel="00000000" w:rsidR="00000000" w:rsidRPr="00000000">
        <w:rPr>
          <w:sz w:val="24"/>
          <w:szCs w:val="24"/>
          <w:rtl w:val="0"/>
        </w:rPr>
        <w:t xml:space="preserve"> Historical and projected data.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Vulnerabilities:</w:t>
      </w:r>
      <w:r w:rsidDel="00000000" w:rsidR="00000000" w:rsidRPr="00000000">
        <w:rPr>
          <w:sz w:val="24"/>
          <w:szCs w:val="24"/>
          <w:rtl w:val="0"/>
        </w:rPr>
        <w:t xml:space="preserve"> Key systems and populations at risk.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Scenarios:</w:t>
      </w:r>
      <w:r w:rsidDel="00000000" w:rsidR="00000000" w:rsidRPr="00000000">
        <w:rPr>
          <w:sz w:val="24"/>
          <w:szCs w:val="24"/>
          <w:rtl w:val="0"/>
        </w:rPr>
        <w:t xml:space="preserve"> Worst-case vs. best-case outcomes.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nctyuk6pj9m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Analysis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evaluation of risks and uncertainties.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Sector-specific impacts (e.g., agriculture, water resources).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r9zqexl0x7p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Recommendations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Adaptation measure 1: Description and expected outcomes.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Mitigation strategy 1: Description and expected outcomes.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preparedness plans.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wvodd6m9e9k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Emphasis on urgent action to mitigate risks.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0z48uk70nf9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Appendices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Climate data and analysis.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Maps and risk models.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