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5a6bd" w:val="clear"/>
        </w:rPr>
      </w:pPr>
      <w:bookmarkStart w:colFirst="0" w:colLast="0" w:name="_dl1jr2iopvml" w:id="0"/>
      <w:bookmarkEnd w:id="0"/>
      <w:r w:rsidDel="00000000" w:rsidR="00000000" w:rsidRPr="00000000">
        <w:rPr>
          <w:b w:val="1"/>
          <w:sz w:val="60"/>
          <w:szCs w:val="60"/>
          <w:shd w:fill="d5a6bd" w:val="clear"/>
          <w:rtl w:val="0"/>
        </w:rPr>
        <w:t xml:space="preserve">Dog Grooming Salon Business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21opwsbdtnh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Vision to create a high-quality grooming salon for pets.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safety, professionalism, and pampering for dogs.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from grooming services and pet products.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3y7avv8dm24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Business Description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services like grooming, bathing, and styling for dogs.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USP: Experienced groomers, stress-free environment, pet-safe products.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lgc9me6msi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Market Analysis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Growth in pet care industry.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customers: Dog owners (busy professionals, families).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Competitors: Analyze pet stores and mobile grooming services.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34onicdczet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Services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Grooming packages: Bathing, haircuts, nail trimming.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Specialty add-ons: Pet facials, de-shedding treatments.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Pet supplies: Brushes, shampoos, toys.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z3ybqj7e2i2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Marketing Strategy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 with veterinarians and pet stores.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Loyalty programs for frequent visitors.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Social media content featuring happy pets.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3tcysexfiqv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Financial Plan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Start-up costs: Grooming tables, washing stations.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Pricing strategy for services and retail.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