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b69mcy1jy27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Internal Audit 5-Year Strategic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fl49o6dvywu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[Applicable to General Organizations]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d75rwk10o4d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5-year strategic plan.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audit priorities over the next five years.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Alignment with organizational goals and vision.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5xsjr3lrqq0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Vision and Mission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for the Internal Audit function over the next five years.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statement focusing on the value to be delivered.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i78gr853hsg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Key Strategic Goals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risk management processes.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Strengthen governance and compliance.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a proactive audit culture.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cr3hxk57n8a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Strategic Focus Areas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1–2:</w:t>
      </w:r>
      <w:r w:rsidDel="00000000" w:rsidR="00000000" w:rsidRPr="00000000">
        <w:rPr>
          <w:sz w:val="24"/>
          <w:szCs w:val="24"/>
          <w:rtl w:val="0"/>
        </w:rPr>
        <w:t xml:space="preserve"> Laying the foundation (e.g., upgrading tools, initial training, and addressing critical risks).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3–4:</w:t>
      </w:r>
      <w:r w:rsidDel="00000000" w:rsidR="00000000" w:rsidRPr="00000000">
        <w:rPr>
          <w:sz w:val="24"/>
          <w:szCs w:val="24"/>
          <w:rtl w:val="0"/>
        </w:rPr>
        <w:t xml:space="preserve"> Building momentum (e.g., expanding audit scope, refining processes, and stakeholder engagement).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5:</w:t>
      </w:r>
      <w:r w:rsidDel="00000000" w:rsidR="00000000" w:rsidRPr="00000000">
        <w:rPr>
          <w:sz w:val="24"/>
          <w:szCs w:val="24"/>
          <w:rtl w:val="0"/>
        </w:rPr>
        <w:t xml:space="preserve"> Optimization (e.g., implementing advanced analytics and achieving audit maturity).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hwgahcsln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Resource Development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Recruitment and upskilling of staff.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Investments in audit technology and tools.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uw04djjfmvt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Risk Prioritization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key risks (e.g., operational, financial, compliance).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Year-wise risk focus.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z3il37e1h63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Performance Indicators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 tracking for measuring success.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Metrics: Completion rate of the audit plan, stakeholder satisfaction, and timely issue resolution.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veajsg2n11k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Stakeholder Communication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frameworks and engagement plans.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0mjt1debocw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Plan Review and Updates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 of plan reviews and updates (e.g., annually).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