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fd966" w:val="clear"/>
        </w:rPr>
      </w:pPr>
      <w:bookmarkStart w:colFirst="0" w:colLast="0" w:name="_4rsuakyyzzi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d966" w:val="clear"/>
          <w:rtl w:val="0"/>
        </w:rPr>
        <w:t xml:space="preserve">Restaurant Internal Audit Strategic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/>
      </w:pPr>
      <w:bookmarkStart w:colFirst="0" w:colLast="0" w:name="_i0vtu3ux490k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[For Restaurant Chains or Hospitality Businesses]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lfxighbtni0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Executive Summary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Introduction to the restaurant chain and its unique challenges.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Focus on food safety, compliance, and operational efficiency.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niafc9ohao8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Audit Priorities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Examples: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Compliance with health and safety regulations.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Internal controls over cash handling and inventory management.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Operational efficiency in supply chain and service quality.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22cr9p8e0n7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Strategic Goals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Reduce health and safety violations.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Improve inventory management to reduce waste.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Streamline operational audits for efficiency.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f7az8vdk3iu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Audit Schedule and Scope</w:t>
      </w:r>
    </w:p>
    <w:p w:rsidR="00000000" w:rsidDel="00000000" w:rsidP="00000000" w:rsidRDefault="00000000" w:rsidRPr="00000000" w14:paraId="00000010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Yearly breakdown of key audit areas (e.g., food safety audits, financial audits, and franchise compliance audits).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q0ij2gfjfd4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Resource and Technology</w:t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Training staff on food safety standards and internal controls.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Leveraging audit tools for tracking compliance.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f7s4nd7pp8k" w:id="7"/>
      <w:bookmarkEnd w:id="7"/>
      <w:r w:rsidDel="00000000" w:rsidR="00000000" w:rsidRPr="00000000">
        <w:rPr>
          <w:b w:val="1"/>
          <w:color w:val="000000"/>
          <w:rtl w:val="0"/>
        </w:rPr>
        <w:t xml:space="preserve">6. Reporting and Stakeholder Engagement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Reporting to restaurant management and franchise owners.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Communication strategies for audit findings.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z6a5ji1me6q" w:id="8"/>
      <w:bookmarkEnd w:id="8"/>
      <w:r w:rsidDel="00000000" w:rsidR="00000000" w:rsidRPr="00000000">
        <w:rPr>
          <w:b w:val="1"/>
          <w:color w:val="000000"/>
          <w:rtl w:val="0"/>
        </w:rPr>
        <w:t xml:space="preserve">7. Key Metrics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Examples: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Percentage reduction in inventory losses.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Timely resolution of compliance issues.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lxd3evpq2jl" w:id="9"/>
      <w:bookmarkEnd w:id="9"/>
      <w:r w:rsidDel="00000000" w:rsidR="00000000" w:rsidRPr="00000000">
        <w:rPr>
          <w:b w:val="1"/>
          <w:color w:val="000000"/>
          <w:rtl w:val="0"/>
        </w:rPr>
        <w:t xml:space="preserve">8. Review and Updates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Annual review of the plan to address emerging risks.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