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1iyijedjde4r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Pregnancy Blood Pressure Log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5nzzpy4kmh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Mother’s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Gestational Age: 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Physician: 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6cjg5sb7y3mr" w:id="2"/>
      <w:bookmarkEnd w:id="2"/>
      <w:r w:rsidDel="00000000" w:rsidR="00000000" w:rsidRPr="00000000">
        <w:rPr>
          <w:b w:val="1"/>
          <w:color w:val="000000"/>
          <w:rtl w:val="0"/>
        </w:rPr>
        <w:t xml:space="preserve">Tracking Table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71.002979145978"/>
        <w:gridCol w:w="994.5580933465739"/>
        <w:gridCol w:w="1482.5422045680239"/>
        <w:gridCol w:w="1538.3118172790466"/>
        <w:gridCol w:w="1189.7517378351538"/>
        <w:gridCol w:w="2040.238331678252"/>
        <w:gridCol w:w="743.5948361469711"/>
        <w:tblGridChange w:id="0">
          <w:tblGrid>
            <w:gridCol w:w="1371.002979145978"/>
            <w:gridCol w:w="994.5580933465739"/>
            <w:gridCol w:w="1482.5422045680239"/>
            <w:gridCol w:w="1538.3118172790466"/>
            <w:gridCol w:w="1189.7517378351538"/>
            <w:gridCol w:w="2040.238331678252"/>
            <w:gridCol w:w="743.594836146971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(BPM)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Fetal Movement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4mpu2pln4v1u" w:id="3"/>
      <w:bookmarkEnd w:id="3"/>
      <w:r w:rsidDel="00000000" w:rsidR="00000000" w:rsidRPr="00000000">
        <w:rPr>
          <w:b w:val="1"/>
          <w:color w:val="000000"/>
          <w:rtl w:val="0"/>
        </w:rPr>
        <w:t xml:space="preserve">Weekly Observations:</w:t>
      </w:r>
    </w:p>
    <w:tbl>
      <w:tblPr>
        <w:tblStyle w:val="Table2"/>
        <w:tblW w:w="87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50"/>
        <w:gridCol w:w="3380"/>
        <w:gridCol w:w="1310"/>
        <w:gridCol w:w="3125"/>
        <w:tblGridChange w:id="0">
          <w:tblGrid>
            <w:gridCol w:w="950"/>
            <w:gridCol w:w="3380"/>
            <w:gridCol w:w="1310"/>
            <w:gridCol w:w="31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 BP (Systolic/Diastolic)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Symptoms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 or Actions Taken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97boyp3g8z8" w:id="4"/>
      <w:bookmarkEnd w:id="4"/>
      <w:r w:rsidDel="00000000" w:rsidR="00000000" w:rsidRPr="00000000">
        <w:rPr>
          <w:b w:val="1"/>
          <w:color w:val="000000"/>
          <w:rtl w:val="0"/>
        </w:rPr>
        <w:t xml:space="preserve">Important Notes: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readings are consistent by taking measurements at the same time daily.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Consult a healthcare provider if systolic &gt;140 mmHg or diastolic &gt;90 mmHg.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 symptoms like swelling, headaches, or vision changes immediately.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