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4480d1pq1bbh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School Operational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26z56alqzo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school operations plan (name, location, type of school).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goals (efficient management of resources and services).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outline (budget allocation, operational costs).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gwwuch4leq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Mission Statement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 seamless educational services through well-structured operations.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9t7a12v3c3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Vision Statement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establish a benchmark in operational excellence for schools.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auan4rz0af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and Objectives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Short-term: Improve daily processes (attendance, lesson delivery).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Long-term: Optimize resource use and integrate technology.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ub0wqlrqnmq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Overview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azvcb6l0t4g" w:id="6"/>
      <w:bookmarkEnd w:id="6"/>
      <w:r w:rsidDel="00000000" w:rsidR="00000000" w:rsidRPr="00000000">
        <w:rPr>
          <w:b w:val="1"/>
          <w:color w:val="000000"/>
          <w:rtl w:val="0"/>
        </w:rPr>
        <w:t xml:space="preserve">1. Departments and Roles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Academic, administrative, extracurricular, and support services.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lpgbk1eehf" w:id="7"/>
      <w:bookmarkEnd w:id="7"/>
      <w:r w:rsidDel="00000000" w:rsidR="00000000" w:rsidRPr="00000000">
        <w:rPr>
          <w:b w:val="1"/>
          <w:color w:val="000000"/>
          <w:rtl w:val="0"/>
        </w:rPr>
        <w:t xml:space="preserve">2. Resource Management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Facilities, staff, and materials.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dbu6b3ilvue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h6y4w8pxnbu" w:id="9"/>
      <w:bookmarkEnd w:id="9"/>
      <w:r w:rsidDel="00000000" w:rsidR="00000000" w:rsidRPr="00000000">
        <w:rPr>
          <w:b w:val="1"/>
          <w:color w:val="000000"/>
          <w:rtl w:val="0"/>
        </w:rPr>
        <w:t xml:space="preserve">3. Daily Activities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Timetables, lesson schedules, and event planning.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p1wsh6m1rc2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the operational needs of the school.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Comparison with industry standards.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nutwqr727ch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management.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roles and responsibilities.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Facility upkeep and resource allocation.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lynzn652rmv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Plan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Budgeting for salaries, materials, and maintenance.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Cost-control strategies.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