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sjd422b1e2v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Private School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rf03ow4m6q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private school (name, location, grades offered).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to provide quality education.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 (tuition income, fundraising goals).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see4f6w913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Mission Statement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Inspire and educate students for lifelong learning.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2l9lo3vbj3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Vision Statement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be recognized as a premier institution for academic excellence.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tuijxczowt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Short-term: Achieve enrollment targets and accreditation.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Long-term: Expand curriculum and extracurricular offerings.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j85vqv7f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Overview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9gterea3sjr" w:id="6"/>
      <w:bookmarkEnd w:id="6"/>
      <w:r w:rsidDel="00000000" w:rsidR="00000000" w:rsidRPr="00000000">
        <w:rPr>
          <w:b w:val="1"/>
          <w:color w:val="000000"/>
          <w:rtl w:val="0"/>
        </w:rPr>
        <w:t xml:space="preserve">1. Curriculum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Specialized focus (STEM, arts, bilingual education).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5lihio6e4ff" w:id="7"/>
      <w:bookmarkEnd w:id="7"/>
      <w:r w:rsidDel="00000000" w:rsidR="00000000" w:rsidRPr="00000000">
        <w:rPr>
          <w:b w:val="1"/>
          <w:color w:val="000000"/>
          <w:rtl w:val="0"/>
        </w:rPr>
        <w:t xml:space="preserve">2. Target Audience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Age groups and demographics.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lmade3om360" w:id="8"/>
      <w:bookmarkEnd w:id="8"/>
      <w:r w:rsidDel="00000000" w:rsidR="00000000" w:rsidRPr="00000000">
        <w:rPr>
          <w:b w:val="1"/>
          <w:color w:val="000000"/>
          <w:rtl w:val="0"/>
        </w:rPr>
        <w:t xml:space="preserve">3. Location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campus facilities and benefits.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d1y9cimj0u3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demand for private education.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analysis: tuition fees, facilities, and services.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sm01xk84gb7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Marketing and Admissions Plan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Branding: Mission-driven marketing.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Enrollment process: Criteria and outreach.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Advertising: Open houses, social media, and community events.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c8r4xypw5x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Hiring and training of qualified staff.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Classroom setup and resources.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schedules and extracurricular programs.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b2sbsgwml7o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Plan</w:t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Tuition fee structure and additional income sources.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Fundraising events and grants.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financial projections.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