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color w:val="980000"/>
          <w:sz w:val="54"/>
          <w:szCs w:val="54"/>
          <w:highlight w:val="white"/>
          <w:rtl w:val="0"/>
        </w:rPr>
        <w:t xml:space="preserve">Contracts and Agreements in Law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Legal Contract Title: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Participants: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Participant 1 (Name and Address):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Participant 2 (Name and Address):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 of Execution: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Contract Duration: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Responsibilities and Duties: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Compensation Terms: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Confidentiality Agreement: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Termination Conditions: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Signatures: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15.4255319148933"/>
        <w:gridCol w:w="3053.6170212765956"/>
        <w:gridCol w:w="3090.9574468085107"/>
        <w:tblGridChange w:id="0">
          <w:tblGrid>
            <w:gridCol w:w="3215.4255319148933"/>
            <w:gridCol w:w="3053.6170212765956"/>
            <w:gridCol w:w="3090.957446808510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Party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Signature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Date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2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Additional Clauses: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d0d0d"/>
          <w:sz w:val="24"/>
          <w:szCs w:val="24"/>
        </w:rPr>
      </w:pPr>
      <w:bookmarkStart w:colFirst="0" w:colLast="0" w:name="_8zuu74z5vurw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