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2"/>
          <w:szCs w:val="52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2"/>
          <w:szCs w:val="52"/>
          <w:shd w:fill="ead1dc" w:val="clear"/>
          <w:rtl w:val="0"/>
        </w:rPr>
        <w:t xml:space="preserve">Contracts and Agreements Template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br w:type="textWrapping"/>
        <w:t xml:space="preserve">Contract Title: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Contracting Parties: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First Party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Second Party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Effective Date: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Duration: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Description of Services: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Payment Schedule: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Non-Disclosure Agreement: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Cancellation Terms: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Signatures: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5.4255319148933"/>
        <w:gridCol w:w="3053.6170212765956"/>
        <w:gridCol w:w="3090.9574468085107"/>
        <w:tblGridChange w:id="0">
          <w:tblGrid>
            <w:gridCol w:w="3215.4255319148933"/>
            <w:gridCol w:w="3053.6170212765956"/>
            <w:gridCol w:w="3090.957446808510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Party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Notes and Remarks: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ttcaxq19t0m3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335.99999999999994" w:lineRule="auto"/>
      <w:ind w:left="-15" w:firstLine="0"/>
      <w:jc w:val="right"/>
      <w:rPr>
        <w:b w:val="1"/>
      </w:rPr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