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rFonts w:ascii="Roboto" w:cs="Roboto" w:eastAsia="Roboto" w:hAnsi="Roboto"/>
          <w:b w:val="1"/>
          <w:color w:val="741b47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741b47"/>
          <w:sz w:val="60"/>
          <w:szCs w:val="60"/>
          <w:rtl w:val="0"/>
        </w:rPr>
        <w:t xml:space="preserve">Community Library Project Proposal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Title: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[Insert Project Title for Community Library]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Overview: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proposal aims to establish a community library to enhance access to educational resources, foster reading habits, and provide a space for learning and community gatherings. The library will be a hub for knowledge-sharing and literacy development.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Goals and Objectives: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project seeks to improve literacy rates, provide access to books and educational materials, and create a community space for learning. Specific objectives include acquiring books, setting up reading programs, and organizing literacy workshops.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Target Audience/Beneficiaries: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primary beneficiaries will be community members, especially [insert target group, such as children, students, adults], who will have free access to library resources.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Activities/Implementation Plan: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library will be established by [insert key activities such as sourcing books, organizing reading events, and setting up the physical space]. A timeline will outline each step, ensuring timely completion.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Resources and Budget: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Resources include books, furniture, technology (computers, internet access), and space rental. The budget will be allocated to purchasing books, setting up the space, and organizing community events.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Team: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 team of volunteers, librarians, and community members will manage the library. Roles include book acquisition, event coordination, and managing day-to-day operations.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Monitoring and Evaluation: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library’s success will be evaluated through usage statistics, reading program participation, and community feedback.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Sustainability Plan: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Long-term sustainability will be achieved through donations, community support, and partnerships with educational organizations. The library will also offer workshops and events to maintain engagement.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Conclusion: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community library project will provide a lasting educational resource, fostering a culture of learning and literacy.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[Insert contact information for the library coordinators].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F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