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rFonts w:ascii="Roboto" w:cs="Roboto" w:eastAsia="Roboto" w:hAnsi="Roboto"/>
          <w:b w:val="1"/>
          <w:color w:val="38761d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8761d"/>
          <w:sz w:val="60"/>
          <w:szCs w:val="60"/>
          <w:rtl w:val="0"/>
        </w:rPr>
        <w:t xml:space="preserve">Community Garden Project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Project Title for Community Garden]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Overview: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project aims to create a sustainable community garden, providing fresh produce and fostering a sense of community. This garden will serve as an educational and environmental initiative, promoting health and sustainability.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Goals and Objectives: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goals are to establish a community garden that provides fresh food, educates participants on gardening techniques, and promotes environmental stewardship. Objectives include growing a variety of vegetables, creating educational workshops, and engaging community members.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Audience/Beneficiaries: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garden will benefit local community members, including [insert groups such as families, schools, etc.], providing access to fresh food and an opportunity to learn about sustainable gardening.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Activities/Implementation Plan: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garden will be developed through phases, starting with [insert activities such as land preparation, planting], followed by regular maintenance and workshops. A detailed schedule will guide the implementation process.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and Budget: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project will require materials like seeds, gardening tools, and soil. Volunteers and community members will contribute labor, and a budget breakdown will cover all expenses.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Team: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team will consist of volunteers, garden experts, and community leaders. Roles will include garden management, workshop facilitation, and coordination of community events.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and Evaluation: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Success will be measured by the garden’s yield, participation rates, and feedback from the community. Regular assessments will track the project’s progress.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Sustainability Plan: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garden will be sustained through volunteer efforts, community contributions, and seasonal planting. Plans for long-term funding and maintenance will be established.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project will provide a lasting impact by promoting sustainability, healthy eating, and community engagement.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contact details for project coordinators and garden organizers].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