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rFonts w:ascii="Roboto" w:cs="Roboto" w:eastAsia="Roboto" w:hAnsi="Roboto"/>
          <w:b w:val="1"/>
          <w:color w:val="4a86e8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4a86e8"/>
          <w:sz w:val="60"/>
          <w:szCs w:val="60"/>
          <w:rtl w:val="0"/>
        </w:rPr>
        <w:t xml:space="preserve">Community Project Proposal for Teacher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Title: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[Insert Project Title for Teachers]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Overview: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initiative seeks to involve teachers in a community-based project aimed at addressing [insert community issue]. Teachers will play a pivotal role in guiding and mentoring participants, applying their expertise to foster community development.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Goals and Objectives: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project aims to empower teachers as community leaders, contributing to [insert desired outcomes, such as literacy, mentorship, etc.]. Objectives include [list specific, measurable objectives related to teacher involvement].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Audience/Beneficiaries: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beneficiaries include both teachers and [insert target group, such as students, community members], who will gain from the project’s activities.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Activities/Implementation Plan: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Teachers will lead [insert project activities, such as workshops, training sessions], with a step-by-step plan. A detailed timeline will outline the implementation phases.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Resources and Budget: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project will require resources like [list materials, tools, funding], with the budget allocated to different tasks and responsibilities.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Team: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team will consist of teachers, project coordinators, and community leaders, each contributing to the success of the initiative.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Monitoring and Evaluation: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impact will be evaluated by tracking teacher involvement and feedback from participants, using [insert evaluation tools, such as surveys or assessments].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Sustainability Plan: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project aims to create lasting change by [insert plans for sustainability], ensuring that the teachers' involvement leads to continued community development.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Conclusion: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project will leverage the expertise of teachers to create a positive and lasting impact on the community.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[Insert contact details for the project leaders and teaching staff].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